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7505"/>
      </w:tblGrid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Registered company name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"/>
                <w:b/>
                <w:sz w:val="22"/>
                <w:szCs w:val="22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Address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"/>
                <w:b/>
                <w:sz w:val="22"/>
                <w:szCs w:val="22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Contact Person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"/>
                <w:b/>
                <w:sz w:val="22"/>
                <w:szCs w:val="22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Phone number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"/>
                <w:b/>
                <w:sz w:val="22"/>
                <w:szCs w:val="22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Email ID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No. of sites / subsidiaries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Total no. of employees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64"/>
        </w:trPr>
        <w:tc>
          <w:tcPr>
            <w:tcW w:w="302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"/>
                <w:b/>
                <w:sz w:val="22"/>
                <w:szCs w:val="22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Annual Turn Over (INR)</w:t>
            </w:r>
          </w:p>
        </w:tc>
        <w:tc>
          <w:tcPr>
            <w:tcW w:w="7505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rPr>
                <w:rFonts w:ascii="TNG Pro" w:hAnsi="TNG Pro" w:cs="Arial-BoldMT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before="120" w:after="120"/>
        <w:jc w:val="both"/>
        <w:rPr>
          <w:rFonts w:ascii="TNG Pro" w:hAnsi="TNG Pro" w:cs="Arial-BoldMT"/>
          <w:color w:val="000000"/>
        </w:rPr>
      </w:pPr>
    </w:p>
    <w:tbl>
      <w:tblPr>
        <w:tblW w:w="514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970"/>
        <w:gridCol w:w="2535"/>
        <w:gridCol w:w="3060"/>
      </w:tblGrid>
      <w:tr>
        <w:trPr>
          <w:trHeight w:val="332"/>
        </w:trPr>
        <w:tc>
          <w:tcPr>
            <w:tcW w:w="1398" w:type="pct"/>
            <w:vMerge w:val="restart"/>
          </w:tcPr>
          <w:p>
            <w:pPr>
              <w:autoSpaceDE w:val="0"/>
              <w:autoSpaceDN w:val="0"/>
              <w:adjustRightInd w:val="0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Addresses of sites / subsidiaries covered under Ecovadis (Boundary)</w:t>
            </w:r>
          </w:p>
        </w:tc>
        <w:tc>
          <w:tcPr>
            <w:tcW w:w="2145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No. of employees</w:t>
            </w:r>
          </w:p>
        </w:tc>
        <w:tc>
          <w:tcPr>
            <w:tcW w:w="145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Turnover (INR)</w:t>
            </w:r>
          </w:p>
        </w:tc>
      </w:tr>
      <w:tr>
        <w:trPr>
          <w:trHeight w:val="439"/>
        </w:trPr>
        <w:tc>
          <w:tcPr>
            <w:tcW w:w="1398" w:type="pct"/>
            <w:vMerge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93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Regular</w:t>
            </w:r>
            <w:r>
              <w:rPr>
                <w:rStyle w:val="FootnoteReference"/>
                <w:rFonts w:ascii="TNG Pro" w:hAnsi="TNG Pro" w:cs="Arial-BoldMT"/>
                <w:b/>
                <w:color w:val="000000"/>
              </w:rPr>
              <w:footnoteReference w:customMarkFollows="1" w:id="1"/>
              <w:sym w:font="Symbol" w:char="F02A"/>
            </w:r>
          </w:p>
        </w:tc>
        <w:tc>
          <w:tcPr>
            <w:tcW w:w="120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NG Pro" w:hAnsi="TNG Pro" w:cs="Arial-BoldMT"/>
                <w:b/>
                <w:color w:val="000000"/>
              </w:rPr>
            </w:pPr>
            <w:r>
              <w:rPr>
                <w:rFonts w:ascii="TNG Pro" w:hAnsi="TNG Pro" w:cs="Arial"/>
                <w:b/>
                <w:sz w:val="22"/>
                <w:szCs w:val="22"/>
              </w:rPr>
              <w:t>Others</w:t>
            </w:r>
            <w:r>
              <w:rPr>
                <w:rStyle w:val="FootnoteReference"/>
                <w:rFonts w:ascii="TNG Pro" w:hAnsi="TNG Pro" w:cs="Arial-BoldMT"/>
                <w:b/>
                <w:color w:val="000000"/>
              </w:rPr>
              <w:footnoteReference w:customMarkFollows="1" w:id="2"/>
              <w:sym w:font="Symbol" w:char="F02A"/>
            </w:r>
            <w:r>
              <w:rPr>
                <w:rStyle w:val="FootnoteReference"/>
                <w:rFonts w:ascii="TNG Pro" w:hAnsi="TNG Pro" w:cs="Arial-BoldMT"/>
                <w:b/>
                <w:color w:val="000000"/>
              </w:rPr>
              <w:sym w:font="Symbol" w:char="F02A"/>
            </w:r>
          </w:p>
        </w:tc>
        <w:tc>
          <w:tcPr>
            <w:tcW w:w="1458" w:type="pct"/>
            <w:vMerge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87"/>
        </w:trPr>
        <w:tc>
          <w:tcPr>
            <w:tcW w:w="139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93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207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45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87"/>
        </w:trPr>
        <w:tc>
          <w:tcPr>
            <w:tcW w:w="139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93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207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45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</w:tr>
      <w:tr>
        <w:trPr>
          <w:trHeight w:val="487"/>
        </w:trPr>
        <w:tc>
          <w:tcPr>
            <w:tcW w:w="139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93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207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  <w:tc>
          <w:tcPr>
            <w:tcW w:w="1458" w:type="pct"/>
          </w:tcPr>
          <w:p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NG Pro" w:hAnsi="TNG Pro" w:cs="Arial-BoldMT"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NG Pro" w:hAnsi="TNG Pro" w:cs="Arial-BoldMT"/>
          <w:color w:val="000000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162"/>
        <w:gridCol w:w="90"/>
      </w:tblGrid>
      <w:tr>
        <w:trPr>
          <w:trHeight w:val="20"/>
        </w:trPr>
        <w:tc>
          <w:tcPr>
            <w:tcW w:w="297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Scope of Service</w:t>
            </w:r>
          </w:p>
        </w:tc>
        <w:tc>
          <w:tcPr>
            <w:tcW w:w="202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  <w:r>
              <w:rPr>
                <w:rFonts w:ascii="TNG Pro" w:hAnsi="TNG Pro" w:cs="Arial"/>
                <w:bCs/>
                <w:color w:val="000000"/>
              </w:rPr>
              <w:t>Scope : -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TNG Pro" w:hAnsi="TNG Pro" w:cs="Arial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  <w:r>
              <w:rPr>
                <w:rFonts w:ascii="TNG Pro" w:hAnsi="TNG Pro" w:cs="Arial"/>
                <w:bCs/>
                <w:color w:val="000000"/>
              </w:rPr>
              <w:t>Boundary 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</w:tc>
      </w:tr>
      <w:tr>
        <w:trPr>
          <w:trHeight w:val="20"/>
        </w:trPr>
        <w:tc>
          <w:tcPr>
            <w:tcW w:w="297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Any limitation in the scope of the disclosures on waste reporting</w:t>
            </w:r>
          </w:p>
        </w:tc>
        <w:tc>
          <w:tcPr>
            <w:tcW w:w="202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</w:p>
        </w:tc>
      </w:tr>
      <w:tr>
        <w:trPr>
          <w:gridAfter w:val="1"/>
          <w:wAfter w:w="43" w:type="pct"/>
          <w:trHeight w:val="989"/>
        </w:trPr>
        <w:tc>
          <w:tcPr>
            <w:tcW w:w="2973" w:type="pct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bCs/>
                <w:color w:val="000000"/>
              </w:rPr>
              <w:lastRenderedPageBreak/>
              <w:t xml:space="preserve">Products / Product Groups / Services </w:t>
            </w:r>
            <w:r>
              <w:rPr>
                <w:rFonts w:ascii="TNG Pro" w:hAnsi="TNG Pro" w:cs="Arial"/>
                <w:color w:val="000000"/>
              </w:rPr>
              <w:t>(attach company brochure, product catalog, website information)</w:t>
            </w:r>
          </w:p>
        </w:tc>
        <w:tc>
          <w:tcPr>
            <w:tcW w:w="1984" w:type="pct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bCs/>
                <w:color w:val="000000"/>
              </w:rPr>
            </w:pPr>
            <w:r>
              <w:rPr>
                <w:rFonts w:ascii="TNG Pro" w:hAnsi="TNG Pro" w:cs="Arial"/>
                <w:bCs/>
                <w:color w:val="000000"/>
              </w:rPr>
              <w:t>Product Related Regulatory or Statutory Requirements, as applicable</w:t>
            </w:r>
          </w:p>
        </w:tc>
        <w:tc>
          <w:tcPr>
            <w:tcW w:w="1984" w:type="pct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Movement of the waste material (mapping of movement within and outside the plant) , Waste stream mapping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Process flow diagram with mass balance – hazardous and non-hazardous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Waste elimination methods – hazardous and non-hazardous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Waste reduction methods – hazardous and non-hazardous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Waste diversion methods – hazardous and non-hazardous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Legal compliance status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Total hazardous/non-hazardous waste generated in the plant, quantity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Description of monitoring process of hazardous waste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List of hazardous waste generated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Quantity of hazardous /non-hazardous waste recycle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Quantity of hazardous waste incinerated (Only waste to energy project) – Department wise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>Quantity of hazardous waste that goes to landfill or incineration (without waste to energy)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  <w:tr>
        <w:trPr>
          <w:gridAfter w:val="1"/>
          <w:wAfter w:w="43" w:type="pct"/>
          <w:trHeight w:val="20"/>
        </w:trPr>
        <w:tc>
          <w:tcPr>
            <w:tcW w:w="2973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  <w:r>
              <w:rPr>
                <w:rFonts w:ascii="TNG Pro" w:hAnsi="TNG Pro" w:cs="Arial"/>
                <w:color w:val="000000"/>
              </w:rPr>
              <w:t xml:space="preserve">Baseline year waste generation, recycle, reused and landfill </w:t>
            </w:r>
          </w:p>
        </w:tc>
        <w:tc>
          <w:tcPr>
            <w:tcW w:w="1984" w:type="pct"/>
          </w:tcPr>
          <w:p>
            <w:pPr>
              <w:spacing w:line="360" w:lineRule="auto"/>
              <w:rPr>
                <w:rFonts w:ascii="TNG Pro" w:hAnsi="TNG Pro" w:cs="Arial"/>
                <w:color w:val="000000"/>
              </w:rPr>
            </w:pPr>
          </w:p>
        </w:tc>
      </w:tr>
    </w:tbl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pBdr>
          <w:bottom w:val="single" w:sz="12" w:space="0" w:color="auto"/>
        </w:pBdr>
        <w:autoSpaceDE w:val="0"/>
        <w:autoSpaceDN w:val="0"/>
        <w:adjustRightInd w:val="0"/>
        <w:ind w:left="-284"/>
        <w:rPr>
          <w:rFonts w:ascii="TNG Pro" w:hAnsi="TNG Pro" w:cs="Arial"/>
          <w:sz w:val="22"/>
          <w:szCs w:val="22"/>
        </w:rPr>
      </w:pPr>
    </w:p>
    <w:p>
      <w:pPr>
        <w:rPr>
          <w:rFonts w:ascii="TNG Pro" w:hAnsi="TNG Pro" w:cs="Arial"/>
          <w:b/>
          <w:iCs/>
        </w:rPr>
      </w:pPr>
      <w:r>
        <w:rPr>
          <w:rFonts w:ascii="TNG Pro" w:hAnsi="TNG Pro" w:cs="Arial"/>
          <w:b/>
          <w:iCs/>
        </w:rPr>
        <w:lastRenderedPageBreak/>
        <w:t>TO BE RETURNED DULY FILLED IN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TUV INDIA PRIVATE LIMITED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801, Raheja Plaza – I, L.BS Marg,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Ghatkopar (W), Mumbai 400 086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Tel : 022-66477000   Fax : 022-6647009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 xml:space="preserve">E-Mail:  </w:t>
      </w:r>
      <w:hyperlink r:id="rId8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mumbai@tuv-nord.com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ind w:left="142" w:hanging="142"/>
        <w:rPr>
          <w:rFonts w:ascii="TNG Pro" w:hAnsi="TNG Pro"/>
        </w:rPr>
      </w:pPr>
      <w:r>
        <w:rPr>
          <w:rFonts w:ascii="TNG Pro" w:hAnsi="TNG Pro" w:cs="Arial"/>
          <w:b/>
          <w:sz w:val="24"/>
          <w:szCs w:val="24"/>
        </w:rPr>
        <w:t xml:space="preserve">Visit us at  </w:t>
      </w:r>
      <w:hyperlink r:id="rId9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www.tuv-nord.com/in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rPr>
          <w:rFonts w:ascii="TNG Pro" w:hAnsi="TNG Pro"/>
        </w:rPr>
      </w:pPr>
      <w:bookmarkStart w:id="0" w:name="_GoBack"/>
      <w:bookmarkEnd w:id="0"/>
    </w:p>
    <w:sectPr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56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10093960</wp:posOffset>
          </wp:positionV>
          <wp:extent cx="1151890" cy="102870"/>
          <wp:effectExtent l="0" t="0" r="0" b="0"/>
          <wp:wrapNone/>
          <wp:docPr id="3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FSA-06                                                                      Rev. 03/10.23 </w:t>
    </w:r>
    <w:r>
      <w:rPr>
        <w:rFonts w:ascii="TNG Pro" w:hAnsi="TNG Pro"/>
      </w:rPr>
      <w:t xml:space="preserve"> </w:t>
    </w:r>
  </w:p>
  <w:p>
    <w:pPr>
      <w:pStyle w:val="Footer"/>
      <w:tabs>
        <w:tab w:val="left" w:pos="7371"/>
        <w:tab w:val="left" w:pos="7655"/>
        <w:tab w:val="left" w:pos="7797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3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2"/>
        <w:tab w:val="right" w:pos="9751"/>
      </w:tabs>
      <w:spacing w:after="0" w:line="240" w:lineRule="auto"/>
      <w:rPr>
        <w:rFonts w:cs="Arial"/>
        <w:sz w:val="16"/>
        <w:szCs w:val="16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FSA-06                                                                      Rev. 03/10.23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rPr>
          <w:rFonts w:ascii="TNG Pro" w:hAnsi="TNG Pro"/>
        </w:rPr>
      </w:pPr>
      <w:r>
        <w:rPr>
          <w:rStyle w:val="FootnoteReference"/>
          <w:rFonts w:ascii="TNG Pro" w:hAnsi="TNG Pro"/>
        </w:rPr>
        <w:sym w:font="Symbol" w:char="F02A"/>
      </w:r>
      <w:r>
        <w:rPr>
          <w:rFonts w:ascii="TNG Pro" w:hAnsi="TNG Pro"/>
        </w:rPr>
        <w:t xml:space="preserve"> </w:t>
      </w:r>
      <w:r>
        <w:rPr>
          <w:rFonts w:ascii="TNG Pro" w:hAnsi="TNG Pro"/>
          <w:sz w:val="16"/>
          <w:szCs w:val="16"/>
        </w:rPr>
        <w:t>Regular employees</w:t>
      </w:r>
    </w:p>
  </w:footnote>
  <w:footnote w:id="2">
    <w:p>
      <w:pPr>
        <w:autoSpaceDE w:val="0"/>
        <w:autoSpaceDN w:val="0"/>
        <w:adjustRightInd w:val="0"/>
        <w:rPr>
          <w:rFonts w:ascii="TNG Pro" w:hAnsi="TNG Pro"/>
        </w:rPr>
      </w:pPr>
      <w:r>
        <w:rPr>
          <w:rStyle w:val="FootnoteReference"/>
          <w:rFonts w:ascii="TNG Pro" w:hAnsi="TNG Pro"/>
        </w:rPr>
        <w:sym w:font="Symbol" w:char="F02A"/>
      </w:r>
      <w:r>
        <w:rPr>
          <w:rStyle w:val="FootnoteReference"/>
          <w:rFonts w:ascii="TNG Pro" w:hAnsi="TNG Pro"/>
        </w:rPr>
        <w:sym w:font="Symbol" w:char="F02A"/>
      </w:r>
      <w:r>
        <w:rPr>
          <w:rFonts w:ascii="TNG Pro" w:hAnsi="TNG Pro"/>
        </w:rPr>
        <w:t xml:space="preserve"> </w:t>
      </w:r>
      <w:r>
        <w:rPr>
          <w:rFonts w:ascii="TNG Pro" w:hAnsi="TNG Pro"/>
          <w:sz w:val="16"/>
          <w:szCs w:val="16"/>
        </w:rPr>
        <w:t>Other employees (subcontractors, seasonal workers, part-timers, etc.)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ind w:left="-284"/>
      <w:rPr>
        <w:rFonts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1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9" o:spid="_x0000_s1026" style="position:absolute;margin-left:-42.45pt;margin-top:259pt;width:19.85pt;height:297.75pt;z-index:251673600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PawwAAANoAAAAPAAAAZHJzL2Rvd25yZXYueG1sRI9Bi8Iw&#10;FITvC/6H8Ba8raku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AucT2sMAAADaAAAADwAA&#10;AAAAAAAAAAAAAAAHAgAAZHJzL2Rvd25yZXYueG1sUEsFBgAAAAADAAMAtwAAAPcCAAAAAA=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uuwwAAANoAAAAPAAAAZHJzL2Rvd25yZXYueG1sRI9Bi8Iw&#10;FITvC/6H8Ba8ramy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jQ6LrsMAAADaAAAADwAA&#10;AAAAAAAAAAAAAAAHAgAAZHJzL2Rvd25yZXYueG1sUEsFBgAAAAADAAMAtwAAAPcCAAAAAA==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cs="Arial"/>
        <w:b/>
        <w:sz w:val="30"/>
        <w:szCs w:val="30"/>
      </w:rPr>
      <w:t xml:space="preserve">Questionnaire for “Zero Waste to Landfill”  </w:t>
    </w:r>
  </w:p>
  <w:p>
    <w:pPr>
      <w:pStyle w:val="Header"/>
      <w:ind w:left="-284"/>
      <w:rPr>
        <w:rFonts w:cs="Arial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rPr>
        <w:sz w:val="30"/>
        <w:szCs w:val="30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6314E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I4MIAAADbAAAADwAAAGRycy9kb3ducmV2LnhtbERPS2vCQBC+C/0PyxS86caAIqmrtAGl&#10;oV58UHocsmMSm50N2W2S/ntXELzNx/ec1WYwteiodZVlBbNpBII4t7riQsH5tJ0sQTiPrLG2TAr+&#10;ycFm/TJaYaJtzwfqjr4QIYRdggpK75tESpeXZNBNbUMcuIttDfoA20LqFvsQbmoZR9FCGqw4NJTY&#10;UFpS/nv8MwrsV7Y/X3ff2cL/pJePen7K09lVqfHr8P4GwtPgn+KH+1OH+TH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GI4MIAAADbAAAADwAAAAAAAAAAAAAA&#10;AAChAgAAZHJzL2Rvd25yZXYueG1sUEsFBgAAAAAEAAQA+QAAAJADAAAAAA=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te8EAAADbAAAADwAAAGRycy9kb3ducmV2LnhtbERPS4vCMBC+C/6HMII3TV1R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S17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1D8EAAADbAAAADwAAAGRycy9kb3ducmV2LnhtbERPS4vCMBC+C/6HMII3TV1U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LUPwQAAANsAAAAPAAAAAAAAAAAAAAAA&#10;AKECAABkcnMvZG93bnJldi54bWxQSwUGAAAAAAQABAD5AAAAjwMAAAAA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 xml:space="preserve">Questionnaire for “Zero Waste to Landfill”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F4F90"/>
    <w:multiLevelType w:val="hybridMultilevel"/>
    <w:tmpl w:val="2AD21D8E"/>
    <w:lvl w:ilvl="0" w:tplc="E1784CDC">
      <w:start w:val="1"/>
      <w:numFmt w:val="decimal"/>
      <w:pStyle w:val="ListParagraph"/>
      <w:lvlText w:val="1.1.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74F1"/>
    <w:multiLevelType w:val="hybridMultilevel"/>
    <w:tmpl w:val="360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D30"/>
    <w:multiLevelType w:val="hybridMultilevel"/>
    <w:tmpl w:val="A6245C72"/>
    <w:lvl w:ilvl="0" w:tplc="90243C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F916F8"/>
    <w:multiLevelType w:val="hybridMultilevel"/>
    <w:tmpl w:val="965A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E70B8"/>
    <w:multiLevelType w:val="hybridMultilevel"/>
    <w:tmpl w:val="1A64EB2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5668"/>
    <w:multiLevelType w:val="multilevel"/>
    <w:tmpl w:val="C43C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9BE4CF2"/>
    <w:multiLevelType w:val="multilevel"/>
    <w:tmpl w:val="69904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6F45"/>
    <w:multiLevelType w:val="hybridMultilevel"/>
    <w:tmpl w:val="F7503CF4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C487C1C"/>
    <w:multiLevelType w:val="hybridMultilevel"/>
    <w:tmpl w:val="143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0E20"/>
    <w:multiLevelType w:val="hybridMultilevel"/>
    <w:tmpl w:val="4A122CF2"/>
    <w:lvl w:ilvl="0" w:tplc="FFFFFFFF">
      <w:start w:val="1"/>
      <w:numFmt w:val="bullet"/>
      <w:lvlText w:val="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1547DE"/>
    <w:multiLevelType w:val="hybridMultilevel"/>
    <w:tmpl w:val="8AEAA2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A165F"/>
    <w:multiLevelType w:val="multilevel"/>
    <w:tmpl w:val="E02CB2E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19" w15:restartNumberingAfterBreak="0">
    <w:nsid w:val="789967AE"/>
    <w:multiLevelType w:val="hybridMultilevel"/>
    <w:tmpl w:val="3D381E7A"/>
    <w:lvl w:ilvl="0" w:tplc="E54674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16"/>
  </w:num>
  <w:num w:numId="18">
    <w:abstractNumId w:val="15"/>
  </w:num>
  <w:num w:numId="19">
    <w:abstractNumId w:val="4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numPr>
        <w:numId w:val="7"/>
      </w:numPr>
      <w:tabs>
        <w:tab w:val="num" w:pos="363"/>
      </w:tabs>
      <w:spacing w:after="120" w:line="240" w:lineRule="auto"/>
      <w:ind w:left="-357" w:firstLine="357"/>
      <w:contextualSpacing/>
      <w:jc w:val="both"/>
    </w:pPr>
    <w:rPr>
      <w:rFonts w:eastAsia="Calibri" w:cs="Times New Roman"/>
      <w:color w:val="auto"/>
      <w:sz w:val="22"/>
      <w:szCs w:val="22"/>
      <w:lang w:val="de-D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ks12N0">
    <w:name w:val="Links 12 (N0)"/>
    <w:basedOn w:val="Normal"/>
    <w:pPr>
      <w:spacing w:after="0" w:line="240" w:lineRule="auto"/>
    </w:pPr>
    <w:rPr>
      <w:rFonts w:eastAsia="Times New Roman" w:cs="Times New Roman"/>
      <w:color w:val="auto"/>
      <w:sz w:val="24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1D1DFF" w:themeColor="text1" w:themeTint="80"/>
        <w:bottom w:val="single" w:sz="4" w:space="0" w:color="1D1D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D1D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D1D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2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1Horz">
      <w:tblPr/>
      <w:tcPr>
        <w:tcBorders>
          <w:top w:val="single" w:sz="4" w:space="0" w:color="1D1DFF" w:themeColor="text1" w:themeTint="80"/>
          <w:bottom w:val="single" w:sz="4" w:space="0" w:color="1D1D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bai@tuv-n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nord.com/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A6F6-1F5B-4087-A4E3-3013AD35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243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26</cp:revision>
  <cp:lastPrinted>2023-08-02T07:24:00Z</cp:lastPrinted>
  <dcterms:created xsi:type="dcterms:W3CDTF">2023-09-27T11:26:00Z</dcterms:created>
  <dcterms:modified xsi:type="dcterms:W3CDTF">2023-10-25T05:12:00Z</dcterms:modified>
</cp:coreProperties>
</file>